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270" w:rsidRDefault="00A964A0">
      <w:pPr>
        <w:pStyle w:val="Proposal"/>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8</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w:t>
      </w:r>
      <w:r w:rsidR="006D2633">
        <w:rPr>
          <w:rFonts w:ascii="Arial" w:hAnsi="Arial" w:cs="Arial"/>
          <w:sz w:val="22"/>
        </w:rPr>
        <w:t>2202207</w:t>
      </w:r>
    </w:p>
    <w:p w:rsidR="00376270" w:rsidRDefault="00A964A0">
      <w:pPr>
        <w:pStyle w:val="Proposal"/>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February 21</w:t>
      </w:r>
      <w:r>
        <w:rPr>
          <w:rFonts w:ascii="Arial" w:hAnsi="Arial" w:cs="Arial" w:hint="eastAsia"/>
          <w:sz w:val="22"/>
          <w:vertAlign w:val="superscript"/>
        </w:rPr>
        <w:t>st</w:t>
      </w:r>
      <w:r>
        <w:rPr>
          <w:rFonts w:ascii="Arial" w:hAnsi="Arial" w:cs="Arial"/>
          <w:sz w:val="22"/>
        </w:rPr>
        <w:t xml:space="preserve"> –</w:t>
      </w:r>
      <w:r>
        <w:rPr>
          <w:rFonts w:ascii="Arial" w:hAnsi="Arial" w:cs="Arial" w:hint="eastAsia"/>
          <w:sz w:val="22"/>
        </w:rPr>
        <w:t xml:space="preserve"> March 3</w:t>
      </w:r>
      <w:r>
        <w:rPr>
          <w:rFonts w:ascii="Arial" w:hAnsi="Arial" w:cs="Arial" w:hint="eastAsia"/>
          <w:sz w:val="22"/>
          <w:vertAlign w:val="superscript"/>
        </w:rPr>
        <w:t>rd</w:t>
      </w:r>
      <w:r>
        <w:rPr>
          <w:rFonts w:ascii="Arial" w:hAnsi="Arial" w:cs="Arial"/>
          <w:sz w:val="22"/>
        </w:rPr>
        <w:t>, 202</w:t>
      </w:r>
      <w:r>
        <w:rPr>
          <w:rFonts w:ascii="Arial" w:hAnsi="Arial" w:cs="Arial" w:hint="eastAsia"/>
          <w:sz w:val="22"/>
        </w:rPr>
        <w:t>2</w:t>
      </w:r>
    </w:p>
    <w:p w:rsidR="00376270" w:rsidRDefault="00376270">
      <w:pPr>
        <w:pStyle w:val="3GPPHeader"/>
        <w:snapToGrid w:val="0"/>
        <w:rPr>
          <w:rFonts w:cs="Arial"/>
          <w:sz w:val="22"/>
        </w:rPr>
      </w:pPr>
    </w:p>
    <w:p w:rsidR="00376270" w:rsidRDefault="00A964A0">
      <w:pPr>
        <w:pStyle w:val="3GPPHeader"/>
        <w:snapToGrid w:val="0"/>
        <w:rPr>
          <w:rFonts w:cs="Arial"/>
          <w:sz w:val="22"/>
        </w:rPr>
      </w:pPr>
      <w:r>
        <w:rPr>
          <w:rFonts w:cs="Arial"/>
          <w:sz w:val="22"/>
        </w:rPr>
        <w:t>Source:</w:t>
      </w:r>
      <w:r>
        <w:rPr>
          <w:rFonts w:cs="Arial"/>
          <w:sz w:val="22"/>
        </w:rPr>
        <w:tab/>
        <w:t>ZTE</w:t>
      </w:r>
    </w:p>
    <w:p w:rsidR="00376270" w:rsidRDefault="00A964A0">
      <w:pPr>
        <w:pStyle w:val="3GPPHeader"/>
        <w:snapToGrid w:val="0"/>
        <w:rPr>
          <w:rFonts w:cs="Arial"/>
          <w:sz w:val="22"/>
        </w:rPr>
      </w:pPr>
      <w:r>
        <w:rPr>
          <w:rFonts w:cs="Arial"/>
          <w:sz w:val="22"/>
        </w:rPr>
        <w:t>Title:</w:t>
      </w:r>
      <w:r>
        <w:rPr>
          <w:rFonts w:cs="Arial"/>
          <w:sz w:val="22"/>
        </w:rPr>
        <w:tab/>
      </w:r>
      <w:r w:rsidR="006D2633">
        <w:rPr>
          <w:rFonts w:cs="Arial"/>
          <w:sz w:val="22"/>
        </w:rPr>
        <w:t>R</w:t>
      </w:r>
      <w:r>
        <w:rPr>
          <w:rFonts w:cs="Arial"/>
          <w:sz w:val="22"/>
        </w:rPr>
        <w:t>emaining issue</w:t>
      </w:r>
      <w:r w:rsidR="006D51BF">
        <w:rPr>
          <w:rFonts w:cs="Arial"/>
          <w:sz w:val="22"/>
        </w:rPr>
        <w:t>s</w:t>
      </w:r>
      <w:r>
        <w:rPr>
          <w:rFonts w:cs="Arial"/>
          <w:sz w:val="22"/>
        </w:rPr>
        <w:t xml:space="preserve"> of </w:t>
      </w:r>
      <w:r>
        <w:rPr>
          <w:rFonts w:cs="Arial" w:hint="eastAsia"/>
          <w:sz w:val="22"/>
        </w:rPr>
        <w:t>UL synchronization for NR-NTN</w:t>
      </w:r>
    </w:p>
    <w:p w:rsidR="00376270" w:rsidRDefault="00A964A0">
      <w:pPr>
        <w:pStyle w:val="3GPPHeader"/>
        <w:snapToGrid w:val="0"/>
        <w:rPr>
          <w:rFonts w:cs="Arial"/>
          <w:sz w:val="22"/>
        </w:rPr>
      </w:pPr>
      <w:r>
        <w:rPr>
          <w:rFonts w:cs="Arial"/>
          <w:sz w:val="22"/>
        </w:rPr>
        <w:t>Agenda Item:</w:t>
      </w:r>
      <w:r>
        <w:rPr>
          <w:rFonts w:cs="Arial"/>
          <w:sz w:val="22"/>
        </w:rPr>
        <w:tab/>
        <w:t>8.</w:t>
      </w:r>
      <w:r>
        <w:rPr>
          <w:rFonts w:cs="Arial" w:hint="eastAsia"/>
          <w:sz w:val="22"/>
        </w:rPr>
        <w:t>4.2</w:t>
      </w:r>
    </w:p>
    <w:p w:rsidR="00376270" w:rsidRDefault="00A964A0">
      <w:pPr>
        <w:pBdr>
          <w:bottom w:val="single" w:sz="6" w:space="1" w:color="auto"/>
        </w:pBdr>
        <w:snapToGrid w:val="0"/>
        <w:rPr>
          <w:rFonts w:ascii="Arial" w:hAnsi="Arial"/>
          <w:b/>
        </w:rPr>
      </w:pPr>
      <w:r>
        <w:rPr>
          <w:rFonts w:ascii="Arial" w:hAnsi="Arial"/>
          <w:b/>
        </w:rPr>
        <w:t>Document for:  Discussion</w:t>
      </w:r>
      <w:bookmarkEnd w:id="0"/>
      <w:bookmarkEnd w:id="1"/>
    </w:p>
    <w:p w:rsidR="00376270" w:rsidRDefault="00A964A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376270" w:rsidRDefault="00A964A0">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#94e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RAN1 part work for NR-NTN has been thought finished except following remaining issues.</w:t>
      </w:r>
    </w:p>
    <w:p w:rsidR="00376270" w:rsidRDefault="00A964A0">
      <w:pPr>
        <w:numPr>
          <w:ilvl w:val="0"/>
          <w:numId w:val="5"/>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Type-2 HARQ codebook enhancements may be discussed.</w:t>
      </w:r>
    </w:p>
    <w:p w:rsidR="00376270" w:rsidRDefault="00A964A0">
      <w:pPr>
        <w:numPr>
          <w:ilvl w:val="0"/>
          <w:numId w:val="5"/>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Serving satellite ephemeris information format for HAPS, if needed</w:t>
      </w:r>
    </w:p>
    <w:p w:rsidR="00376270" w:rsidRDefault="00A964A0">
      <w:pPr>
        <w:numPr>
          <w:ilvl w:val="0"/>
          <w:numId w:val="5"/>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The UE specific K_offset has an open FFS on whether/how to resolve the ambiguity when cell-specific K_offset is changed/modified.</w:t>
      </w:r>
    </w:p>
    <w:p w:rsidR="00376270" w:rsidRDefault="00A964A0">
      <w:pPr>
        <w:numPr>
          <w:ilvl w:val="0"/>
          <w:numId w:val="5"/>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Whether additional NTN validity durations are needed for GEO case</w:t>
      </w:r>
    </w:p>
    <w:p w:rsidR="00376270" w:rsidRDefault="00A964A0">
      <w:pPr>
        <w:numPr>
          <w:ilvl w:val="0"/>
          <w:numId w:val="5"/>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HARQ feedback for SPS activation has one open FFS on which behavior the UE should follow in case it is not having feedback enabled via RRC configuration.</w:t>
      </w:r>
    </w:p>
    <w:p w:rsidR="00376270" w:rsidRDefault="00A964A0">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remaining issues </w:t>
      </w:r>
      <w:r>
        <w:rPr>
          <w:rFonts w:ascii="Times New Roman" w:hAnsi="Times New Roman"/>
          <w:sz w:val="20"/>
          <w:szCs w:val="20"/>
        </w:rPr>
        <w:t xml:space="preserve">for UL synchronization are elaborated with corresponding analysis. </w:t>
      </w:r>
    </w:p>
    <w:p w:rsidR="00376270" w:rsidRDefault="00A964A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UL timing synchronization</w:t>
      </w:r>
    </w:p>
    <w:p w:rsidR="00376270" w:rsidRDefault="00A964A0">
      <w:pPr>
        <w:pStyle w:val="2"/>
        <w:numPr>
          <w:ilvl w:val="1"/>
          <w:numId w:val="6"/>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Validity duration for GEO case</w:t>
      </w:r>
      <w:r>
        <w:rPr>
          <w:rFonts w:ascii="Times New Roman" w:eastAsia="宋体" w:hAnsi="Times New Roman" w:cs="Times New Roman"/>
          <w:sz w:val="24"/>
          <w:szCs w:val="24"/>
          <w:lang w:val="en-US"/>
        </w:rPr>
        <w:t xml:space="preserve"> </w:t>
      </w:r>
    </w:p>
    <w:p w:rsidR="00376270" w:rsidRDefault="00A964A0">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RAN1#107e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validity duration for serving satellite ephemeris and common TA is discussed and following agreement was achieved.</w:t>
      </w:r>
    </w:p>
    <w:p w:rsidR="00376270" w:rsidRDefault="00A964A0">
      <w:pPr>
        <w:ind w:leftChars="200" w:left="440"/>
        <w:rPr>
          <w:rFonts w:ascii="Times New Roman" w:hAnsi="Times New Roman" w:cs="Times New Roman"/>
          <w:b/>
          <w:bCs/>
          <w:i/>
          <w:iCs/>
          <w:sz w:val="20"/>
          <w:szCs w:val="20"/>
          <w:highlight w:val="green"/>
          <w:lang w:eastAsia="ko-KR"/>
        </w:rPr>
      </w:pPr>
      <w:r>
        <w:rPr>
          <w:rFonts w:ascii="Times New Roman" w:hAnsi="Times New Roman" w:cs="Times New Roman"/>
          <w:b/>
          <w:bCs/>
          <w:i/>
          <w:iCs/>
          <w:sz w:val="20"/>
          <w:szCs w:val="20"/>
          <w:highlight w:val="green"/>
          <w:lang w:eastAsia="ko-KR"/>
        </w:rPr>
        <w:t>Agreement</w:t>
      </w:r>
    </w:p>
    <w:p w:rsidR="00376270" w:rsidRDefault="00A964A0">
      <w:pPr>
        <w:ind w:leftChars="200" w:left="440"/>
        <w:rPr>
          <w:rFonts w:ascii="Times New Roman" w:hAnsi="Times New Roman" w:cs="Times New Roman"/>
          <w:i/>
          <w:iCs/>
          <w:sz w:val="20"/>
          <w:szCs w:val="20"/>
        </w:rPr>
      </w:pPr>
      <w:r>
        <w:rPr>
          <w:rFonts w:ascii="Times New Roman" w:hAnsi="Times New Roman" w:cs="Times New Roman"/>
          <w:i/>
          <w:iCs/>
          <w:sz w:val="20"/>
          <w:szCs w:val="20"/>
        </w:rPr>
        <w:t>NTN validity duration is configured per cell and indicated to the UE in X bits with:</w:t>
      </w:r>
    </w:p>
    <w:p w:rsidR="00376270" w:rsidRDefault="00A964A0">
      <w:pPr>
        <w:numPr>
          <w:ilvl w:val="0"/>
          <w:numId w:val="7"/>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Value range { 5, 10, 15, 20, 25, 30, 35, 40, 45, 50, 55, 60, 120, 180, 240</w:t>
      </w:r>
      <w:r>
        <w:rPr>
          <w:rFonts w:ascii="Times New Roman" w:hAnsi="Times New Roman" w:cs="Times New Roman"/>
          <w:i/>
          <w:iCs/>
          <w:strike/>
          <w:color w:val="FF0000"/>
          <w:sz w:val="20"/>
          <w:szCs w:val="20"/>
          <w:lang w:eastAsia="zh-TW"/>
        </w:rPr>
        <w:t>, Infinity</w:t>
      </w:r>
      <w:r>
        <w:rPr>
          <w:rFonts w:ascii="Times New Roman" w:hAnsi="Times New Roman" w:cs="Times New Roman"/>
          <w:i/>
          <w:iCs/>
          <w:sz w:val="20"/>
          <w:szCs w:val="20"/>
          <w:lang w:eastAsia="zh-TW"/>
        </w:rPr>
        <w:t>}</w:t>
      </w:r>
    </w:p>
    <w:p w:rsidR="00376270" w:rsidRDefault="00A964A0">
      <w:pPr>
        <w:numPr>
          <w:ilvl w:val="0"/>
          <w:numId w:val="7"/>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Unit is second</w:t>
      </w:r>
    </w:p>
    <w:p w:rsidR="00376270" w:rsidRDefault="00A964A0">
      <w:pPr>
        <w:numPr>
          <w:ilvl w:val="0"/>
          <w:numId w:val="7"/>
        </w:numPr>
        <w:spacing w:after="0"/>
        <w:rPr>
          <w:rFonts w:ascii="Times New Roman" w:eastAsia="宋体" w:hAnsi="Times New Roman" w:cs="Times New Roman"/>
          <w:sz w:val="20"/>
          <w:szCs w:val="20"/>
        </w:rPr>
      </w:pPr>
      <w:r>
        <w:rPr>
          <w:rFonts w:ascii="Times New Roman" w:hAnsi="Times New Roman" w:cs="Times New Roman"/>
          <w:i/>
          <w:iCs/>
          <w:sz w:val="20"/>
          <w:szCs w:val="20"/>
          <w:lang w:eastAsia="zh-TW"/>
        </w:rPr>
        <w:t>FFS (to be resolved in current meeting): Additional values for GEO</w:t>
      </w:r>
    </w:p>
    <w:p w:rsidR="00376270" w:rsidRDefault="00A964A0">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Although the main candidate values have been agreed, whether and what additional large duration values should defined for GEO case are still FFS. </w:t>
      </w:r>
    </w:p>
    <w:p w:rsidR="00376270" w:rsidRDefault="00A964A0">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reality, the satellite mobility will be disturbed by various factors. Even in GEO cases, the satellite cannot keep a stationary ECEF coordinate. Therefore, setting the validity duration as infinity should not be supported.</w:t>
      </w:r>
    </w:p>
    <w:p w:rsidR="00376270" w:rsidRDefault="00A964A0">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Moreover, for GEO cases, where the validity duration can be longer than the modification period, the legacy SIB update procedure can be adopted for updating the ephemeris and common TA parameters, i.e., UE read SIB according to the indication from network. Hence, there is no need to introduce additional validity duration values for GEO. Instead, network can skip the configuration of validity duration in GEO case to indicate UE that legacy SIB update procedure is adopted. Network can guarantee the ephemeris and common TA parameters are timely updated through implementation. </w:t>
      </w:r>
    </w:p>
    <w:p w:rsidR="00376270" w:rsidRDefault="00A964A0">
      <w:p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sidR="00506556">
        <w:rPr>
          <w:rFonts w:ascii="Times New Roman" w:hAnsi="Times New Roman" w:cs="Times New Roman"/>
          <w:i/>
          <w:sz w:val="20"/>
          <w:szCs w:val="20"/>
        </w:rPr>
        <w:t>A</w:t>
      </w:r>
      <w:r>
        <w:rPr>
          <w:rFonts w:ascii="Times New Roman" w:hAnsi="Times New Roman" w:cs="Times New Roman" w:hint="eastAsia"/>
          <w:i/>
          <w:sz w:val="20"/>
          <w:szCs w:val="20"/>
        </w:rPr>
        <w:t>dditional validity duration value for GEO</w:t>
      </w:r>
      <w:r w:rsidR="00506556">
        <w:rPr>
          <w:rFonts w:ascii="Times New Roman" w:hAnsi="Times New Roman" w:cs="Times New Roman"/>
          <w:i/>
          <w:sz w:val="20"/>
          <w:szCs w:val="20"/>
        </w:rPr>
        <w:t xml:space="preserve"> is not supported</w:t>
      </w:r>
      <w:r>
        <w:rPr>
          <w:rFonts w:ascii="Times New Roman" w:hAnsi="Times New Roman" w:cs="Times New Roman" w:hint="eastAsia"/>
          <w:i/>
          <w:sz w:val="20"/>
          <w:szCs w:val="20"/>
        </w:rPr>
        <w:t xml:space="preserve">. </w:t>
      </w:r>
    </w:p>
    <w:p w:rsidR="00376270" w:rsidRDefault="00A964A0">
      <w:pPr>
        <w:pStyle w:val="2"/>
        <w:numPr>
          <w:ilvl w:val="1"/>
          <w:numId w:val="6"/>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TA report</w:t>
      </w:r>
    </w:p>
    <w:p w:rsidR="00376270" w:rsidRDefault="00A964A0">
      <w:pPr>
        <w:numPr>
          <w:ilvl w:val="3"/>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Regarding TA reporting, RAN2 has agreed to support it in RACH procedure.</w:t>
      </w:r>
    </w:p>
    <w:p w:rsidR="00376270" w:rsidRDefault="00A964A0" w:rsidP="002A10AC">
      <w:pPr>
        <w:pStyle w:val="Agreement"/>
        <w:tabs>
          <w:tab w:val="left" w:pos="1619"/>
        </w:tabs>
        <w:spacing w:after="0" w:line="240" w:lineRule="auto"/>
        <w:ind w:leftChars="200" w:left="800"/>
        <w:rPr>
          <w:rFonts w:ascii="Times New Roman" w:eastAsia="宋体" w:hAnsi="Times New Roman" w:cs="Times New Roman"/>
          <w:kern w:val="2"/>
          <w:sz w:val="20"/>
          <w:szCs w:val="20"/>
        </w:rPr>
      </w:pPr>
      <w:r>
        <w:rPr>
          <w:rFonts w:ascii="Times New Roman" w:eastAsia="宋体" w:hAnsi="Times New Roman" w:cs="Times New Roman" w:hint="eastAsia"/>
          <w:kern w:val="2"/>
          <w:sz w:val="20"/>
          <w:szCs w:val="20"/>
        </w:rPr>
        <w:t xml:space="preserve">For NR-NTN </w:t>
      </w:r>
      <w:r>
        <w:rPr>
          <w:rFonts w:ascii="Times New Roman" w:eastAsia="宋体" w:hAnsi="Times New Roman" w:cs="Times New Roman" w:hint="eastAsia"/>
          <w:kern w:val="2"/>
          <w:sz w:val="20"/>
          <w:szCs w:val="20"/>
        </w:rPr>
        <w:fldChar w:fldCharType="begin"/>
      </w:r>
      <w:r>
        <w:rPr>
          <w:rFonts w:ascii="Times New Roman" w:eastAsia="宋体" w:hAnsi="Times New Roman" w:cs="Times New Roman" w:hint="eastAsia"/>
          <w:kern w:val="2"/>
          <w:sz w:val="20"/>
          <w:szCs w:val="20"/>
        </w:rPr>
        <w:instrText xml:space="preserve"> REF _Ref23901 \w \h </w:instrText>
      </w:r>
      <w:r>
        <w:rPr>
          <w:rFonts w:ascii="Times New Roman" w:eastAsia="宋体" w:hAnsi="Times New Roman" w:cs="Times New Roman" w:hint="eastAsia"/>
          <w:kern w:val="2"/>
          <w:sz w:val="20"/>
          <w:szCs w:val="20"/>
        </w:rPr>
      </w:r>
      <w:r>
        <w:rPr>
          <w:rFonts w:ascii="Times New Roman" w:eastAsia="宋体" w:hAnsi="Times New Roman" w:cs="Times New Roman" w:hint="eastAsia"/>
          <w:kern w:val="2"/>
          <w:sz w:val="20"/>
          <w:szCs w:val="20"/>
        </w:rPr>
        <w:fldChar w:fldCharType="separate"/>
      </w:r>
      <w:r>
        <w:rPr>
          <w:rFonts w:ascii="Times New Roman" w:eastAsia="宋体" w:hAnsi="Times New Roman" w:cs="Times New Roman" w:hint="eastAsia"/>
          <w:kern w:val="2"/>
          <w:sz w:val="20"/>
          <w:szCs w:val="20"/>
        </w:rPr>
        <w:t>[3]</w:t>
      </w:r>
      <w:r>
        <w:rPr>
          <w:rFonts w:ascii="Times New Roman" w:eastAsia="宋体" w:hAnsi="Times New Roman" w:cs="Times New Roman" w:hint="eastAsia"/>
          <w:kern w:val="2"/>
          <w:sz w:val="20"/>
          <w:szCs w:val="20"/>
        </w:rPr>
        <w:fldChar w:fldCharType="end"/>
      </w:r>
    </w:p>
    <w:p w:rsidR="00376270" w:rsidRDefault="00A964A0" w:rsidP="002A10AC">
      <w:pPr>
        <w:pStyle w:val="Agreement"/>
        <w:numPr>
          <w:ilvl w:val="0"/>
          <w:numId w:val="8"/>
        </w:numPr>
        <w:tabs>
          <w:tab w:val="left" w:pos="1619"/>
        </w:tabs>
        <w:spacing w:after="0" w:line="240" w:lineRule="auto"/>
        <w:ind w:leftChars="200" w:left="860"/>
        <w:rPr>
          <w:rFonts w:ascii="Times New Roman" w:eastAsia="宋体" w:hAnsi="Times New Roman" w:cs="Times New Roman"/>
          <w:kern w:val="2"/>
          <w:sz w:val="20"/>
          <w:szCs w:val="20"/>
        </w:rPr>
      </w:pPr>
      <w:r>
        <w:rPr>
          <w:rFonts w:ascii="Times New Roman" w:eastAsia="宋体" w:hAnsi="Times New Roman" w:cs="Times New Roman" w:hint="eastAsia"/>
          <w:kern w:val="2"/>
          <w:sz w:val="20"/>
          <w:szCs w:val="20"/>
        </w:rPr>
        <w:lastRenderedPageBreak/>
        <w:t>Do not mandate Msg3/MsgA or Msg5 to include TA report MAC CE, and whether it can be included depends on the TB size of Msg3/MsgA or Msg5. No spec change is needed for this.</w:t>
      </w:r>
    </w:p>
    <w:p w:rsidR="00376270" w:rsidRDefault="00A964A0" w:rsidP="002A10AC">
      <w:pPr>
        <w:pStyle w:val="Agreement"/>
        <w:numPr>
          <w:ilvl w:val="0"/>
          <w:numId w:val="8"/>
        </w:numPr>
        <w:tabs>
          <w:tab w:val="left" w:pos="1619"/>
        </w:tabs>
        <w:spacing w:after="0" w:line="240" w:lineRule="auto"/>
        <w:ind w:leftChars="200" w:left="860"/>
        <w:rPr>
          <w:rFonts w:ascii="Times New Roman" w:eastAsia="宋体" w:hAnsi="Times New Roman" w:cs="Times New Roman"/>
          <w:sz w:val="20"/>
          <w:szCs w:val="20"/>
        </w:rPr>
      </w:pPr>
      <w:r>
        <w:rPr>
          <w:rFonts w:ascii="Times New Roman" w:eastAsia="宋体" w:hAnsi="Times New Roman" w:cs="Times New Roman" w:hint="eastAsia"/>
          <w:kern w:val="2"/>
          <w:sz w:val="20"/>
          <w:szCs w:val="20"/>
        </w:rPr>
        <w:t>For the TA report triggering event which uses the offset threshold between current information about UE specific TA and the last successfully reported information about UE specific TA, no hysteresis or time to trigger is needed.</w:t>
      </w:r>
    </w:p>
    <w:p w:rsidR="00376270" w:rsidRDefault="00A964A0">
      <w:pPr>
        <w:tabs>
          <w:tab w:val="left" w:pos="2609"/>
        </w:tabs>
        <w:adjustRightInd w:val="0"/>
        <w:snapToGrid w:val="0"/>
        <w:spacing w:beforeLines="50" w:before="120" w:afterLines="50" w:after="120"/>
        <w:ind w:leftChars="200" w:left="440"/>
      </w:pPr>
      <w:r>
        <w:rPr>
          <w:rFonts w:ascii="Times New Roman" w:eastAsia="宋体" w:hAnsi="Times New Roman" w:cs="Times New Roman" w:hint="eastAsia"/>
          <w:sz w:val="20"/>
          <w:szCs w:val="20"/>
        </w:rPr>
        <w:t xml:space="preserve">Although RAN2 has agreed the framework of TA report, the details of the procedure are still not clear, e.g., how to determine the reported TA value, which requires RAN1 discussion. The basic timeline of TA report is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_Ref20034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_Ref20054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From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_Ref20034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it can be observed that there could be obvious delay between the time instants of triggering TA report (t0) and real transmission (t2), which may include the round trip delay, scheduling delay and processing delay. Even if TA is reported in MsgA, where UL scheduling is not needed, there is still processing delay caused by TA calculation, encoding, modulation, etc. In order to ensure the latest TA is reported, the reported TA value should be determined based on the time instant of real UL transmission instead of when it is triggered. </w:t>
      </w:r>
    </w:p>
    <w:p w:rsidR="00376270" w:rsidRDefault="00A964A0">
      <w:pPr>
        <w:tabs>
          <w:tab w:val="left" w:pos="2609"/>
        </w:tabs>
        <w:adjustRightInd w:val="0"/>
        <w:snapToGrid w:val="0"/>
        <w:spacing w:beforeLines="50" w:before="120" w:afterLines="50" w:after="120"/>
        <w:ind w:leftChars="200" w:left="440"/>
        <w:jc w:val="center"/>
      </w:pPr>
      <w:r>
        <w:rPr>
          <w:noProof/>
        </w:rPr>
        <w:drawing>
          <wp:inline distT="0" distB="0" distL="114300" distR="114300">
            <wp:extent cx="4191000" cy="1722637"/>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4217534" cy="1733543"/>
                    </a:xfrm>
                    <a:prstGeom prst="rect">
                      <a:avLst/>
                    </a:prstGeom>
                    <a:noFill/>
                    <a:ln>
                      <a:noFill/>
                    </a:ln>
                  </pic:spPr>
                </pic:pic>
              </a:graphicData>
            </a:graphic>
          </wp:inline>
        </w:drawing>
      </w:r>
    </w:p>
    <w:p w:rsidR="00376270" w:rsidRPr="004C13E3" w:rsidRDefault="00A964A0" w:rsidP="004C13E3">
      <w:p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3" w:name="_Ref20034"/>
      <w:r w:rsidRPr="004C13E3">
        <w:rPr>
          <w:rFonts w:ascii="Times New Roman" w:hAnsi="Times New Roman" w:cs="Times New Roman"/>
          <w:sz w:val="20"/>
          <w:szCs w:val="20"/>
        </w:rPr>
        <w:t xml:space="preserve">Figure </w:t>
      </w:r>
      <w:r w:rsidRPr="004C13E3">
        <w:rPr>
          <w:rFonts w:ascii="Times New Roman" w:hAnsi="Times New Roman" w:cs="Times New Roman"/>
          <w:b/>
          <w:bCs/>
          <w:sz w:val="20"/>
          <w:szCs w:val="20"/>
        </w:rPr>
        <w:fldChar w:fldCharType="begin"/>
      </w:r>
      <w:r w:rsidRPr="004C13E3">
        <w:rPr>
          <w:rFonts w:ascii="Times New Roman" w:hAnsi="Times New Roman" w:cs="Times New Roman"/>
          <w:sz w:val="20"/>
          <w:szCs w:val="20"/>
        </w:rPr>
        <w:instrText xml:space="preserve"> SEQ Figure \* ARABIC </w:instrText>
      </w:r>
      <w:r w:rsidRPr="004C13E3">
        <w:rPr>
          <w:rFonts w:ascii="Times New Roman" w:hAnsi="Times New Roman" w:cs="Times New Roman"/>
          <w:b/>
          <w:bCs/>
          <w:sz w:val="20"/>
          <w:szCs w:val="20"/>
        </w:rPr>
        <w:fldChar w:fldCharType="separate"/>
      </w:r>
      <w:r w:rsidRPr="004C13E3">
        <w:rPr>
          <w:rFonts w:ascii="Times New Roman" w:hAnsi="Times New Roman" w:cs="Times New Roman"/>
          <w:sz w:val="20"/>
          <w:szCs w:val="20"/>
        </w:rPr>
        <w:t>1</w:t>
      </w:r>
      <w:r w:rsidRPr="004C13E3">
        <w:rPr>
          <w:rFonts w:ascii="Times New Roman" w:hAnsi="Times New Roman" w:cs="Times New Roman"/>
          <w:b/>
          <w:bCs/>
          <w:sz w:val="20"/>
          <w:szCs w:val="20"/>
        </w:rPr>
        <w:fldChar w:fldCharType="end"/>
      </w:r>
      <w:bookmarkEnd w:id="3"/>
      <w:r w:rsidRPr="004C13E3">
        <w:rPr>
          <w:rFonts w:ascii="Times New Roman" w:hAnsi="Times New Roman" w:cs="Times New Roman"/>
          <w:sz w:val="20"/>
          <w:szCs w:val="20"/>
        </w:rPr>
        <w:t xml:space="preserve"> Timeline of TA report with UL scheduling, e.g., report in Msg3 and Msg5</w:t>
      </w:r>
    </w:p>
    <w:p w:rsidR="00376270" w:rsidRDefault="00A964A0">
      <w:pPr>
        <w:tabs>
          <w:tab w:val="left" w:pos="2609"/>
        </w:tabs>
        <w:adjustRightInd w:val="0"/>
        <w:snapToGrid w:val="0"/>
        <w:spacing w:beforeLines="50" w:before="120" w:afterLines="50" w:after="120"/>
        <w:ind w:leftChars="200" w:left="440"/>
        <w:jc w:val="center"/>
      </w:pPr>
      <w:r>
        <w:rPr>
          <w:noProof/>
        </w:rPr>
        <w:drawing>
          <wp:inline distT="0" distB="0" distL="114300" distR="114300">
            <wp:extent cx="2286000" cy="1650378"/>
            <wp:effectExtent l="0" t="0" r="0"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2290915" cy="1653926"/>
                    </a:xfrm>
                    <a:prstGeom prst="rect">
                      <a:avLst/>
                    </a:prstGeom>
                    <a:noFill/>
                    <a:ln>
                      <a:noFill/>
                    </a:ln>
                  </pic:spPr>
                </pic:pic>
              </a:graphicData>
            </a:graphic>
          </wp:inline>
        </w:drawing>
      </w:r>
    </w:p>
    <w:p w:rsidR="00376270" w:rsidRPr="004C13E3" w:rsidRDefault="00A964A0" w:rsidP="004C13E3">
      <w:p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4" w:name="_Ref20054"/>
      <w:bookmarkStart w:id="5" w:name="_Ref28794"/>
      <w:r w:rsidRPr="004C13E3">
        <w:rPr>
          <w:rFonts w:ascii="Times New Roman" w:hAnsi="Times New Roman" w:cs="Times New Roman"/>
          <w:sz w:val="20"/>
          <w:szCs w:val="20"/>
        </w:rPr>
        <w:t xml:space="preserve">Figure </w:t>
      </w:r>
      <w:r w:rsidRPr="004C13E3">
        <w:rPr>
          <w:rFonts w:ascii="Times New Roman" w:hAnsi="Times New Roman" w:cs="Times New Roman"/>
          <w:sz w:val="20"/>
          <w:szCs w:val="20"/>
        </w:rPr>
        <w:fldChar w:fldCharType="begin"/>
      </w:r>
      <w:r w:rsidRPr="004C13E3">
        <w:rPr>
          <w:rFonts w:ascii="Times New Roman" w:hAnsi="Times New Roman" w:cs="Times New Roman"/>
          <w:sz w:val="20"/>
          <w:szCs w:val="20"/>
        </w:rPr>
        <w:instrText xml:space="preserve"> SEQ Figure \* ARABIC </w:instrText>
      </w:r>
      <w:r w:rsidRPr="004C13E3">
        <w:rPr>
          <w:rFonts w:ascii="Times New Roman" w:hAnsi="Times New Roman" w:cs="Times New Roman"/>
          <w:sz w:val="20"/>
          <w:szCs w:val="20"/>
        </w:rPr>
        <w:fldChar w:fldCharType="separate"/>
      </w:r>
      <w:r w:rsidRPr="004C13E3">
        <w:rPr>
          <w:rFonts w:ascii="Times New Roman" w:hAnsi="Times New Roman" w:cs="Times New Roman"/>
          <w:sz w:val="20"/>
          <w:szCs w:val="20"/>
        </w:rPr>
        <w:t>2</w:t>
      </w:r>
      <w:r w:rsidRPr="004C13E3">
        <w:rPr>
          <w:rFonts w:ascii="Times New Roman" w:hAnsi="Times New Roman" w:cs="Times New Roman"/>
          <w:sz w:val="20"/>
          <w:szCs w:val="20"/>
        </w:rPr>
        <w:fldChar w:fldCharType="end"/>
      </w:r>
      <w:bookmarkEnd w:id="4"/>
      <w:r w:rsidRPr="004C13E3">
        <w:rPr>
          <w:rFonts w:ascii="Times New Roman" w:hAnsi="Times New Roman" w:cs="Times New Roman" w:hint="eastAsia"/>
          <w:sz w:val="20"/>
          <w:szCs w:val="20"/>
        </w:rPr>
        <w:t xml:space="preserve"> Timeline of TA report without UL scheduling, e.g., report in MsgA </w:t>
      </w:r>
    </w:p>
    <w:bookmarkEnd w:id="5"/>
    <w:p w:rsidR="00376270" w:rsidRDefault="00A964A0">
      <w:pPr>
        <w:spacing w:beforeLines="50" w:before="120" w:afterLines="50" w:after="120" w:line="240" w:lineRule="auto"/>
        <w:ind w:leftChars="200" w:left="440"/>
        <w:jc w:val="both"/>
      </w:pPr>
      <w:r>
        <w:rPr>
          <w:rFonts w:ascii="Times New Roman" w:hAnsi="Times New Roman" w:cs="Times New Roman" w:hint="eastAsia"/>
          <w:b/>
          <w:i/>
          <w:sz w:val="20"/>
          <w:szCs w:val="20"/>
        </w:rPr>
        <w:t xml:space="preserve">Proposal 2: </w:t>
      </w:r>
      <w:r>
        <w:rPr>
          <w:rFonts w:ascii="Times New Roman" w:hAnsi="Times New Roman" w:hint="eastAsia"/>
          <w:i/>
          <w:iCs/>
          <w:sz w:val="20"/>
          <w:szCs w:val="20"/>
        </w:rPr>
        <w:t>UE should determine the reported TA value based on the time instant of real UL transmission</w:t>
      </w:r>
      <w:r w:rsidR="00C70219">
        <w:rPr>
          <w:rFonts w:ascii="Times New Roman" w:hAnsi="Times New Roman"/>
          <w:i/>
          <w:iCs/>
          <w:sz w:val="20"/>
          <w:szCs w:val="20"/>
        </w:rPr>
        <w:t xml:space="preserve"> (with consideration on the processing delay)</w:t>
      </w:r>
      <w:r>
        <w:rPr>
          <w:rFonts w:ascii="Times New Roman" w:hAnsi="Times New Roman" w:hint="eastAsia"/>
          <w:i/>
          <w:iCs/>
          <w:sz w:val="20"/>
          <w:szCs w:val="20"/>
        </w:rPr>
        <w:t xml:space="preserve"> instead of the time instant of triggering.</w:t>
      </w:r>
    </w:p>
    <w:p w:rsidR="00376270" w:rsidRDefault="00A964A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Satellite ephemeris indication</w:t>
      </w:r>
    </w:p>
    <w:p w:rsidR="00376270" w:rsidRDefault="00A964A0">
      <w:pPr>
        <w:pStyle w:val="2"/>
        <w:numPr>
          <w:ilvl w:val="1"/>
          <w:numId w:val="9"/>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Satellite ephemeris information format for HAPS</w:t>
      </w:r>
    </w:p>
    <w:p w:rsidR="00376270" w:rsidRDefault="00A964A0">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RAN1#107e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following agreement was achieved for satellite ephemeris format.</w:t>
      </w:r>
    </w:p>
    <w:p w:rsidR="00376270" w:rsidRDefault="00A964A0">
      <w:pPr>
        <w:ind w:leftChars="200" w:left="440"/>
        <w:rPr>
          <w:rFonts w:ascii="Times New Roman" w:hAnsi="Times New Roman" w:cs="Times New Roman"/>
          <w:b/>
          <w:bCs/>
          <w:i/>
          <w:iCs/>
          <w:sz w:val="20"/>
          <w:szCs w:val="20"/>
          <w:highlight w:val="green"/>
          <w:lang w:eastAsia="ko-KR"/>
        </w:rPr>
      </w:pPr>
      <w:r>
        <w:rPr>
          <w:rFonts w:ascii="Times New Roman" w:hAnsi="Times New Roman" w:cs="Times New Roman"/>
          <w:b/>
          <w:bCs/>
          <w:i/>
          <w:iCs/>
          <w:sz w:val="20"/>
          <w:szCs w:val="20"/>
          <w:highlight w:val="green"/>
          <w:lang w:eastAsia="ko-KR"/>
        </w:rPr>
        <w:t>Agreement</w:t>
      </w:r>
    </w:p>
    <w:p w:rsidR="00376270" w:rsidRDefault="00A964A0">
      <w:pPr>
        <w:ind w:leftChars="200" w:left="440"/>
        <w:rPr>
          <w:rFonts w:ascii="Times New Roman" w:hAnsi="Times New Roman" w:cs="Times New Roman"/>
          <w:i/>
          <w:iCs/>
          <w:sz w:val="20"/>
          <w:szCs w:val="20"/>
        </w:rPr>
      </w:pPr>
      <w:r>
        <w:rPr>
          <w:rFonts w:ascii="Times New Roman" w:hAnsi="Times New Roman" w:cs="Times New Roman"/>
          <w:i/>
          <w:iCs/>
          <w:sz w:val="20"/>
          <w:szCs w:val="20"/>
        </w:rPr>
        <w:t>Confirm the working assumption made at RAN1#106-bis-e on serving satellite ephemeris bit allocations for LEO/MEO/GEO based non-terrestrial access network:</w:t>
      </w:r>
    </w:p>
    <w:p w:rsidR="00376270" w:rsidRDefault="00A964A0">
      <w:pPr>
        <w:numPr>
          <w:ilvl w:val="0"/>
          <w:numId w:val="10"/>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lastRenderedPageBreak/>
        <w:t>Support serving satellite ephemeris format bit allocations for LEO/MEO/GEO based non-terrestrial access network:</w:t>
      </w:r>
    </w:p>
    <w:p w:rsidR="00376270" w:rsidRDefault="00A964A0">
      <w:pPr>
        <w:numPr>
          <w:ilvl w:val="0"/>
          <w:numId w:val="11"/>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 xml:space="preserve">Position and velocity state vector ephemeris format is 17 bytes payload. </w:t>
      </w:r>
    </w:p>
    <w:p w:rsidR="00376270" w:rsidRDefault="00A964A0">
      <w:pPr>
        <w:numPr>
          <w:ilvl w:val="0"/>
          <w:numId w:val="12"/>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The field size for position (m) is 78 bits</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Position range is driven by GEO : +/- 42 200 km</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The quantization step is 1.3m for position</w:t>
      </w:r>
    </w:p>
    <w:p w:rsidR="00376270" w:rsidRDefault="00A964A0">
      <w:pPr>
        <w:numPr>
          <w:ilvl w:val="0"/>
          <w:numId w:val="12"/>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The field size for velocity (m/s) is 54 bits</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Velocity range is driven by LEO@600 km: +/- 8000 m/s</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The quantization step is 0.06 m/s for Velocity</w:t>
      </w:r>
    </w:p>
    <w:p w:rsidR="00376270" w:rsidRDefault="00A964A0">
      <w:pPr>
        <w:numPr>
          <w:ilvl w:val="0"/>
          <w:numId w:val="11"/>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Orbital parameter ephemeris format 18 byte payload</w:t>
      </w:r>
    </w:p>
    <w:p w:rsidR="00376270" w:rsidRDefault="00A964A0">
      <w:pPr>
        <w:numPr>
          <w:ilvl w:val="0"/>
          <w:numId w:val="12"/>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Semi-major axis α (m) is 33 bits</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Range: [6500, 43000]km</w:t>
      </w:r>
    </w:p>
    <w:p w:rsidR="00376270" w:rsidRDefault="00A964A0">
      <w:pPr>
        <w:numPr>
          <w:ilvl w:val="0"/>
          <w:numId w:val="12"/>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Eccentricity e is 19 bits</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Range: ≤ 0.015</w:t>
      </w:r>
    </w:p>
    <w:p w:rsidR="00376270" w:rsidRDefault="00A964A0">
      <w:pPr>
        <w:numPr>
          <w:ilvl w:val="0"/>
          <w:numId w:val="12"/>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Argument of periapsis ω (rad) is 24 bits</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Range: [0, 2π]</w:t>
      </w:r>
    </w:p>
    <w:p w:rsidR="00376270" w:rsidRDefault="00A964A0">
      <w:pPr>
        <w:numPr>
          <w:ilvl w:val="0"/>
          <w:numId w:val="12"/>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Longitude of ascending node (Ω rad) is 21 bits</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Range: [0, 2π]</w:t>
      </w:r>
    </w:p>
    <w:p w:rsidR="00376270" w:rsidRDefault="00A964A0">
      <w:pPr>
        <w:numPr>
          <w:ilvl w:val="0"/>
          <w:numId w:val="12"/>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Inclination i (rad) is 20 bits</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Range: [- π/2 , + π/2]</w:t>
      </w:r>
    </w:p>
    <w:p w:rsidR="00376270" w:rsidRDefault="00A964A0">
      <w:pPr>
        <w:numPr>
          <w:ilvl w:val="0"/>
          <w:numId w:val="12"/>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Mean anomaly M (rad) at epoch time to is 24 bits</w:t>
      </w:r>
    </w:p>
    <w:p w:rsidR="00376270" w:rsidRDefault="00A964A0">
      <w:pPr>
        <w:numPr>
          <w:ilvl w:val="0"/>
          <w:numId w:val="13"/>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Range: [0, 2π]</w:t>
      </w:r>
    </w:p>
    <w:p w:rsidR="00376270" w:rsidRDefault="00A964A0">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the agreement, the ephemeris format for LEO/MEO/GEO has been agreed. While for HAPS, there is no agreement yet. </w:t>
      </w:r>
    </w:p>
    <w:p w:rsidR="00376270" w:rsidRDefault="00A964A0">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It is preferred </w:t>
      </w:r>
      <w:r w:rsidR="007B660D">
        <w:rPr>
          <w:rFonts w:ascii="Times New Roman" w:eastAsia="宋体" w:hAnsi="Times New Roman" w:cs="Times New Roman"/>
          <w:sz w:val="20"/>
          <w:szCs w:val="20"/>
        </w:rPr>
        <w:t xml:space="preserve">to </w:t>
      </w:r>
      <w:r w:rsidR="002052D2">
        <w:rPr>
          <w:rFonts w:ascii="Times New Roman" w:eastAsia="宋体" w:hAnsi="Times New Roman" w:cs="Times New Roman"/>
          <w:sz w:val="20"/>
          <w:szCs w:val="20"/>
        </w:rPr>
        <w:t xml:space="preserve">confirm that the </w:t>
      </w:r>
      <w:r w:rsidR="007B660D">
        <w:rPr>
          <w:rFonts w:ascii="Times New Roman" w:eastAsia="宋体" w:hAnsi="Times New Roman" w:cs="Times New Roman"/>
          <w:sz w:val="20"/>
          <w:szCs w:val="20"/>
        </w:rPr>
        <w:t xml:space="preserve">agreed format </w:t>
      </w:r>
      <w:r>
        <w:rPr>
          <w:rFonts w:ascii="Times New Roman" w:eastAsia="宋体" w:hAnsi="Times New Roman" w:cs="Times New Roman" w:hint="eastAsia"/>
          <w:sz w:val="20"/>
          <w:szCs w:val="20"/>
        </w:rPr>
        <w:t xml:space="preserve">for LEO/MEO/GEO </w:t>
      </w:r>
      <w:r w:rsidR="002052D2">
        <w:rPr>
          <w:rFonts w:ascii="Times New Roman" w:eastAsia="宋体" w:hAnsi="Times New Roman" w:cs="Times New Roman"/>
          <w:sz w:val="20"/>
          <w:szCs w:val="20"/>
        </w:rPr>
        <w:t xml:space="preserve">will also be applied </w:t>
      </w:r>
      <w:r w:rsidR="007B660D">
        <w:rPr>
          <w:rFonts w:ascii="Times New Roman" w:eastAsia="宋体" w:hAnsi="Times New Roman" w:cs="Times New Roman"/>
          <w:sz w:val="20"/>
          <w:szCs w:val="20"/>
        </w:rPr>
        <w:t>f</w:t>
      </w:r>
      <w:r>
        <w:rPr>
          <w:rFonts w:ascii="Times New Roman" w:eastAsia="宋体" w:hAnsi="Times New Roman" w:cs="Times New Roman" w:hint="eastAsia"/>
          <w:sz w:val="20"/>
          <w:szCs w:val="20"/>
        </w:rPr>
        <w:t>or HAPS/ATG</w:t>
      </w:r>
      <w:r w:rsidR="002052D2">
        <w:rPr>
          <w:rFonts w:ascii="Times New Roman" w:eastAsia="宋体" w:hAnsi="Times New Roman" w:cs="Times New Roman"/>
          <w:sz w:val="20"/>
          <w:szCs w:val="20"/>
        </w:rPr>
        <w:t xml:space="preserve"> since the location of BS in corresponding scenarios can also be </w:t>
      </w:r>
      <w:r>
        <w:rPr>
          <w:rFonts w:ascii="Times New Roman" w:eastAsia="宋体" w:hAnsi="Times New Roman" w:cs="Times New Roman" w:hint="eastAsia"/>
          <w:sz w:val="20"/>
          <w:szCs w:val="20"/>
        </w:rPr>
        <w:t>covered by the agreed position and velocity state vector format</w:t>
      </w:r>
      <w:r w:rsidR="002052D2">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Moreover, </w:t>
      </w:r>
      <w:r w:rsidR="00804595">
        <w:rPr>
          <w:rFonts w:ascii="Times New Roman" w:eastAsia="宋体" w:hAnsi="Times New Roman" w:cs="Times New Roman"/>
          <w:sz w:val="20"/>
          <w:szCs w:val="20"/>
        </w:rPr>
        <w:t xml:space="preserve">with same set of agreement, the </w:t>
      </w:r>
      <w:r w:rsidR="00804595">
        <w:rPr>
          <w:rFonts w:ascii="Times New Roman" w:eastAsia="宋体" w:hAnsi="Times New Roman" w:cs="Times New Roman" w:hint="eastAsia"/>
          <w:sz w:val="20"/>
          <w:szCs w:val="20"/>
        </w:rPr>
        <w:t>compatibility</w:t>
      </w:r>
      <w:r w:rsidR="00804595">
        <w:rPr>
          <w:rFonts w:ascii="Times New Roman" w:eastAsia="宋体" w:hAnsi="Times New Roman" w:cs="Times New Roman"/>
          <w:sz w:val="20"/>
          <w:szCs w:val="20"/>
        </w:rPr>
        <w:t xml:space="preserve"> can also be guaranteed for the UE in different application scenarios without additional complexity</w:t>
      </w:r>
      <w:r w:rsidR="00490E46">
        <w:rPr>
          <w:rFonts w:ascii="Times New Roman" w:eastAsia="宋体" w:hAnsi="Times New Roman" w:cs="Times New Roman"/>
          <w:sz w:val="20"/>
          <w:szCs w:val="20"/>
        </w:rPr>
        <w:t xml:space="preserve"> for implementation</w:t>
      </w:r>
      <w:bookmarkStart w:id="6" w:name="_GoBack"/>
      <w:bookmarkEnd w:id="6"/>
      <w:r w:rsidR="00804595">
        <w:rPr>
          <w:rFonts w:ascii="Times New Roman" w:eastAsia="宋体" w:hAnsi="Times New Roman" w:cs="Times New Roman"/>
          <w:sz w:val="20"/>
          <w:szCs w:val="20"/>
        </w:rPr>
        <w:t xml:space="preserve"> and standardization efforts</w:t>
      </w:r>
      <w:r w:rsidR="00804595">
        <w:rPr>
          <w:rFonts w:ascii="Times New Roman" w:eastAsia="宋体" w:hAnsi="Times New Roman" w:cs="Times New Roman" w:hint="eastAsia"/>
          <w:sz w:val="20"/>
          <w:szCs w:val="20"/>
        </w:rPr>
        <w:t>,</w:t>
      </w:r>
      <w:r w:rsidR="00804595">
        <w:rPr>
          <w:rFonts w:ascii="Times New Roman" w:eastAsia="宋体" w:hAnsi="Times New Roman" w:cs="Times New Roman"/>
          <w:sz w:val="20"/>
          <w:szCs w:val="20"/>
        </w:rPr>
        <w:t xml:space="preserve"> especially </w:t>
      </w:r>
      <w:r>
        <w:rPr>
          <w:rFonts w:ascii="Times New Roman" w:eastAsia="宋体" w:hAnsi="Times New Roman" w:cs="Times New Roman" w:hint="eastAsia"/>
          <w:sz w:val="20"/>
          <w:szCs w:val="20"/>
        </w:rPr>
        <w:t>in the maintenance phase.</w:t>
      </w:r>
    </w:p>
    <w:p w:rsidR="00376270" w:rsidRDefault="00A964A0">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hint="eastAsia"/>
          <w:i/>
          <w:sz w:val="20"/>
          <w:szCs w:val="20"/>
        </w:rPr>
        <w:t xml:space="preserve"> Confirm that the agreed position and velocity state vector ephemeris format for LEO/MEO/GEO is also applied for HAPS/ATG.</w:t>
      </w:r>
    </w:p>
    <w:p w:rsidR="00376270" w:rsidRDefault="00A964A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376270" w:rsidRDefault="00A964A0">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the synchronization related </w:t>
      </w:r>
      <w:r>
        <w:rPr>
          <w:rFonts w:ascii="Times New Roman" w:eastAsia="宋体" w:hAnsi="Times New Roman" w:cs="Times New Roman" w:hint="eastAsia"/>
          <w:sz w:val="20"/>
          <w:szCs w:val="20"/>
        </w:rPr>
        <w:t xml:space="preserve">remaining </w:t>
      </w:r>
      <w:r>
        <w:rPr>
          <w:rFonts w:ascii="Times New Roman" w:eastAsia="宋体" w:hAnsi="Times New Roman" w:cs="Times New Roman"/>
          <w:sz w:val="20"/>
          <w:szCs w:val="20"/>
        </w:rPr>
        <w:t>issues for NTN is conducted with following proposals and observations:</w:t>
      </w:r>
    </w:p>
    <w:p w:rsidR="00F240EA" w:rsidRDefault="00F240EA" w:rsidP="00F240EA">
      <w:p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hAnsi="Times New Roman" w:cs="Times New Roman"/>
          <w:i/>
          <w:sz w:val="20"/>
          <w:szCs w:val="20"/>
        </w:rPr>
        <w:t>A</w:t>
      </w:r>
      <w:r>
        <w:rPr>
          <w:rFonts w:ascii="Times New Roman" w:hAnsi="Times New Roman" w:cs="Times New Roman" w:hint="eastAsia"/>
          <w:i/>
          <w:sz w:val="20"/>
          <w:szCs w:val="20"/>
        </w:rPr>
        <w:t>dditional validity duration value for GEO</w:t>
      </w:r>
      <w:r>
        <w:rPr>
          <w:rFonts w:ascii="Times New Roman" w:hAnsi="Times New Roman" w:cs="Times New Roman"/>
          <w:i/>
          <w:sz w:val="20"/>
          <w:szCs w:val="20"/>
        </w:rPr>
        <w:t xml:space="preserve"> is not supported</w:t>
      </w:r>
      <w:r>
        <w:rPr>
          <w:rFonts w:ascii="Times New Roman" w:hAnsi="Times New Roman" w:cs="Times New Roman" w:hint="eastAsia"/>
          <w:i/>
          <w:sz w:val="20"/>
          <w:szCs w:val="20"/>
        </w:rPr>
        <w:t xml:space="preserve">. </w:t>
      </w:r>
    </w:p>
    <w:p w:rsidR="00C70219" w:rsidRDefault="00C70219" w:rsidP="00C70219">
      <w:pPr>
        <w:spacing w:beforeLines="50" w:before="120" w:afterLines="50" w:after="120" w:line="240" w:lineRule="auto"/>
        <w:ind w:leftChars="200" w:left="440"/>
        <w:jc w:val="both"/>
      </w:pPr>
      <w:r>
        <w:rPr>
          <w:rFonts w:ascii="Times New Roman" w:hAnsi="Times New Roman" w:cs="Times New Roman" w:hint="eastAsia"/>
          <w:b/>
          <w:i/>
          <w:sz w:val="20"/>
          <w:szCs w:val="20"/>
        </w:rPr>
        <w:t xml:space="preserve">Proposal 2: </w:t>
      </w:r>
      <w:r>
        <w:rPr>
          <w:rFonts w:ascii="Times New Roman" w:hAnsi="Times New Roman" w:hint="eastAsia"/>
          <w:i/>
          <w:iCs/>
          <w:sz w:val="20"/>
          <w:szCs w:val="20"/>
        </w:rPr>
        <w:t>UE should determine the reported TA value based on the time instant of real UL transmission</w:t>
      </w:r>
      <w:r>
        <w:rPr>
          <w:rFonts w:ascii="Times New Roman" w:hAnsi="Times New Roman"/>
          <w:i/>
          <w:iCs/>
          <w:sz w:val="20"/>
          <w:szCs w:val="20"/>
        </w:rPr>
        <w:t xml:space="preserve"> (with consideration on the processing delay)</w:t>
      </w:r>
      <w:r>
        <w:rPr>
          <w:rFonts w:ascii="Times New Roman" w:hAnsi="Times New Roman" w:hint="eastAsia"/>
          <w:i/>
          <w:iCs/>
          <w:sz w:val="20"/>
          <w:szCs w:val="20"/>
        </w:rPr>
        <w:t xml:space="preserve"> instead of the time instant of triggering.</w:t>
      </w:r>
    </w:p>
    <w:p w:rsidR="00376270" w:rsidRDefault="00A964A0">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hint="eastAsia"/>
          <w:i/>
          <w:sz w:val="20"/>
          <w:szCs w:val="20"/>
        </w:rPr>
        <w:t xml:space="preserve"> Confirm that the agreed position and velocity state vector ephemeris format for LEO/MEO/GEO is also applied for HAPS/ATG.</w:t>
      </w:r>
    </w:p>
    <w:p w:rsidR="00376270" w:rsidRDefault="00A964A0">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376270" w:rsidRDefault="00A964A0">
      <w:pPr>
        <w:pStyle w:val="ListParagraph1"/>
        <w:numPr>
          <w:ilvl w:val="0"/>
          <w:numId w:val="14"/>
        </w:numPr>
        <w:spacing w:after="0" w:line="240" w:lineRule="auto"/>
        <w:ind w:left="505" w:hanging="505"/>
        <w:rPr>
          <w:rFonts w:ascii="Times New Roman" w:hAnsi="Times New Roman"/>
          <w:sz w:val="20"/>
          <w:szCs w:val="20"/>
        </w:rPr>
      </w:pPr>
      <w:bookmarkStart w:id="7" w:name="_Ref40282619"/>
      <w:r>
        <w:rPr>
          <w:rFonts w:ascii="Times New Roman" w:hAnsi="Times New Roman" w:hint="eastAsia"/>
          <w:sz w:val="20"/>
          <w:szCs w:val="20"/>
        </w:rPr>
        <w:t>RP-212803 SR WID NR-NTN solution for RAN94-e,</w:t>
      </w:r>
      <w:r>
        <w:rPr>
          <w:rFonts w:ascii="Times New Roman" w:hAnsi="Times New Roman"/>
          <w:sz w:val="20"/>
          <w:szCs w:val="20"/>
        </w:rPr>
        <w:t xml:space="preserve"> RAN#</w:t>
      </w:r>
      <w:bookmarkEnd w:id="7"/>
      <w:r>
        <w:rPr>
          <w:rFonts w:ascii="Times New Roman" w:hAnsi="Times New Roman" w:hint="eastAsia"/>
          <w:sz w:val="20"/>
          <w:szCs w:val="20"/>
        </w:rPr>
        <w:t>94e</w:t>
      </w:r>
    </w:p>
    <w:p w:rsidR="00376270" w:rsidRDefault="00A964A0">
      <w:pPr>
        <w:pStyle w:val="ListParagraph1"/>
        <w:numPr>
          <w:ilvl w:val="0"/>
          <w:numId w:val="14"/>
        </w:numPr>
        <w:spacing w:after="0" w:line="240" w:lineRule="auto"/>
        <w:ind w:left="505" w:hanging="505"/>
        <w:rPr>
          <w:rFonts w:ascii="Times New Roman" w:hAnsi="Times New Roman"/>
          <w:sz w:val="20"/>
          <w:szCs w:val="20"/>
        </w:rPr>
      </w:pPr>
      <w:bookmarkStart w:id="8" w:name="_Ref32552"/>
      <w:r>
        <w:rPr>
          <w:rFonts w:ascii="Times New Roman" w:hAnsi="Times New Roman" w:hint="eastAsia"/>
          <w:sz w:val="20"/>
          <w:szCs w:val="20"/>
        </w:rPr>
        <w:t>R1-2112791 Session notes for 8.4 (Solutions for NR to support non-terrestrial networks (NTN))</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107e</w:t>
      </w:r>
      <w:bookmarkEnd w:id="8"/>
    </w:p>
    <w:p w:rsidR="00376270" w:rsidRDefault="00A964A0">
      <w:pPr>
        <w:pStyle w:val="ListParagraph1"/>
        <w:numPr>
          <w:ilvl w:val="0"/>
          <w:numId w:val="14"/>
        </w:numPr>
        <w:spacing w:after="0" w:line="240" w:lineRule="auto"/>
        <w:ind w:left="505" w:hanging="505"/>
        <w:rPr>
          <w:rFonts w:ascii="Times New Roman" w:hAnsi="Times New Roman"/>
          <w:sz w:val="20"/>
          <w:szCs w:val="20"/>
        </w:rPr>
      </w:pPr>
      <w:bookmarkStart w:id="9" w:name="_Ref23901"/>
      <w:r>
        <w:rPr>
          <w:rFonts w:ascii="Times New Roman" w:hAnsi="Times New Roman" w:cs="Times New Roman"/>
          <w:sz w:val="20"/>
          <w:szCs w:val="20"/>
        </w:rPr>
        <w:t>R</w:t>
      </w:r>
      <w:r>
        <w:rPr>
          <w:rFonts w:ascii="Times New Roman" w:hAnsi="Times New Roman" w:cs="Times New Roman" w:hint="eastAsia"/>
          <w:sz w:val="20"/>
          <w:szCs w:val="20"/>
        </w:rPr>
        <w:t>2</w:t>
      </w:r>
      <w:r>
        <w:rPr>
          <w:rFonts w:ascii="Times New Roman" w:hAnsi="Times New Roman" w:cs="Times New Roman"/>
          <w:sz w:val="20"/>
          <w:szCs w:val="20"/>
        </w:rPr>
        <w:t>-</w:t>
      </w:r>
      <w:r>
        <w:rPr>
          <w:rFonts w:ascii="Times New Roman" w:hAnsi="Times New Roman" w:cs="Times New Roman" w:hint="eastAsia"/>
          <w:sz w:val="20"/>
          <w:szCs w:val="20"/>
        </w:rPr>
        <w:t>2201900</w:t>
      </w:r>
      <w:r>
        <w:rPr>
          <w:rFonts w:ascii="Times New Roman" w:hAnsi="Times New Roman" w:cs="Times New Roman"/>
          <w:sz w:val="20"/>
          <w:szCs w:val="20"/>
        </w:rPr>
        <w:t xml:space="preserve">, </w:t>
      </w:r>
      <w:r>
        <w:rPr>
          <w:rFonts w:ascii="Times New Roman" w:hAnsi="Times New Roman" w:cs="Times New Roman" w:hint="eastAsia"/>
          <w:sz w:val="20"/>
          <w:szCs w:val="20"/>
        </w:rPr>
        <w:t>MAC open issues in NTN, RAN2#116be</w:t>
      </w:r>
      <w:bookmarkEnd w:id="9"/>
    </w:p>
    <w:p w:rsidR="00376270" w:rsidRDefault="00376270">
      <w:pPr>
        <w:pStyle w:val="ListParagraph1"/>
        <w:numPr>
          <w:ilvl w:val="255"/>
          <w:numId w:val="0"/>
        </w:numPr>
        <w:spacing w:after="0" w:line="20" w:lineRule="exact"/>
        <w:ind w:left="720"/>
        <w:rPr>
          <w:rFonts w:ascii="Times New Roman" w:hAnsi="Times New Roman"/>
          <w:sz w:val="20"/>
          <w:szCs w:val="20"/>
        </w:rPr>
      </w:pPr>
    </w:p>
    <w:sectPr w:rsidR="003762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E9D" w:rsidRDefault="00B70E9D">
      <w:pPr>
        <w:spacing w:line="240" w:lineRule="auto"/>
      </w:pPr>
      <w:r>
        <w:separator/>
      </w:r>
    </w:p>
  </w:endnote>
  <w:endnote w:type="continuationSeparator" w:id="0">
    <w:p w:rsidR="00B70E9D" w:rsidRDefault="00B70E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E9D" w:rsidRDefault="00B70E9D">
      <w:pPr>
        <w:spacing w:after="0"/>
      </w:pPr>
      <w:r>
        <w:separator/>
      </w:r>
    </w:p>
  </w:footnote>
  <w:footnote w:type="continuationSeparator" w:id="0">
    <w:p w:rsidR="00B70E9D" w:rsidRDefault="00B70E9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FF3B062"/>
    <w:multiLevelType w:val="singleLevel"/>
    <w:tmpl w:val="AFF3B06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59A6E0D"/>
    <w:multiLevelType w:val="singleLevel"/>
    <w:tmpl w:val="C59A6E0D"/>
    <w:lvl w:ilvl="0">
      <w:start w:val="1"/>
      <w:numFmt w:val="bullet"/>
      <w:lvlText w:val=""/>
      <w:lvlJc w:val="left"/>
      <w:pPr>
        <w:tabs>
          <w:tab w:val="left" w:pos="1680"/>
        </w:tabs>
        <w:ind w:left="2100" w:hanging="420"/>
      </w:pPr>
      <w:rPr>
        <w:rFonts w:ascii="Wingdings" w:hAnsi="Wingdings" w:hint="default"/>
      </w:rPr>
    </w:lvl>
  </w:abstractNum>
  <w:abstractNum w:abstractNumId="2" w15:restartNumberingAfterBreak="0">
    <w:nsid w:val="D3FADD2C"/>
    <w:multiLevelType w:val="multilevel"/>
    <w:tmpl w:val="D3FADD2C"/>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微软雅黑" w:hAnsi="微软雅黑" w:hint="default"/>
      </w:rPr>
    </w:lvl>
    <w:lvl w:ilvl="2">
      <w:start w:val="1"/>
      <w:numFmt w:val="bullet"/>
      <w:lvlText w:val=""/>
      <w:lvlJc w:val="left"/>
      <w:pPr>
        <w:tabs>
          <w:tab w:val="left" w:pos="1260"/>
        </w:tabs>
        <w:ind w:left="1680" w:hanging="420"/>
      </w:pPr>
      <w:rPr>
        <w:rFonts w:ascii="微软雅黑" w:hAnsi="微软雅黑" w:hint="default"/>
      </w:rPr>
    </w:lvl>
    <w:lvl w:ilvl="3">
      <w:start w:val="1"/>
      <w:numFmt w:val="bullet"/>
      <w:lvlText w:val=""/>
      <w:lvlJc w:val="left"/>
      <w:pPr>
        <w:tabs>
          <w:tab w:val="left" w:pos="1680"/>
        </w:tabs>
        <w:ind w:left="2100" w:hanging="420"/>
      </w:pPr>
      <w:rPr>
        <w:rFonts w:ascii="微软雅黑" w:hAnsi="微软雅黑" w:hint="default"/>
      </w:rPr>
    </w:lvl>
    <w:lvl w:ilvl="4">
      <w:start w:val="1"/>
      <w:numFmt w:val="bullet"/>
      <w:lvlText w:val=""/>
      <w:lvlJc w:val="left"/>
      <w:pPr>
        <w:tabs>
          <w:tab w:val="left" w:pos="2100"/>
        </w:tabs>
        <w:ind w:left="2520" w:hanging="420"/>
      </w:pPr>
      <w:rPr>
        <w:rFonts w:ascii="微软雅黑" w:hAnsi="微软雅黑" w:hint="default"/>
      </w:rPr>
    </w:lvl>
    <w:lvl w:ilvl="5">
      <w:start w:val="1"/>
      <w:numFmt w:val="bullet"/>
      <w:lvlText w:val=""/>
      <w:lvlJc w:val="left"/>
      <w:pPr>
        <w:tabs>
          <w:tab w:val="left" w:pos="2520"/>
        </w:tabs>
        <w:ind w:left="2940" w:hanging="420"/>
      </w:pPr>
      <w:rPr>
        <w:rFonts w:ascii="微软雅黑" w:hAnsi="微软雅黑" w:hint="default"/>
      </w:rPr>
    </w:lvl>
    <w:lvl w:ilvl="6">
      <w:start w:val="1"/>
      <w:numFmt w:val="bullet"/>
      <w:lvlText w:val=""/>
      <w:lvlJc w:val="left"/>
      <w:pPr>
        <w:tabs>
          <w:tab w:val="left" w:pos="2940"/>
        </w:tabs>
        <w:ind w:left="3360" w:hanging="420"/>
      </w:pPr>
      <w:rPr>
        <w:rFonts w:ascii="微软雅黑" w:hAnsi="微软雅黑" w:hint="default"/>
      </w:rPr>
    </w:lvl>
    <w:lvl w:ilvl="7">
      <w:start w:val="1"/>
      <w:numFmt w:val="bullet"/>
      <w:lvlText w:val=""/>
      <w:lvlJc w:val="left"/>
      <w:pPr>
        <w:tabs>
          <w:tab w:val="left" w:pos="3360"/>
        </w:tabs>
        <w:ind w:left="3780" w:hanging="420"/>
      </w:pPr>
      <w:rPr>
        <w:rFonts w:ascii="微软雅黑" w:hAnsi="微软雅黑" w:hint="default"/>
      </w:rPr>
    </w:lvl>
    <w:lvl w:ilvl="8">
      <w:start w:val="1"/>
      <w:numFmt w:val="bullet"/>
      <w:lvlText w:val=""/>
      <w:lvlJc w:val="left"/>
      <w:pPr>
        <w:tabs>
          <w:tab w:val="left" w:pos="3780"/>
        </w:tabs>
        <w:ind w:left="4200" w:hanging="420"/>
      </w:pPr>
      <w:rPr>
        <w:rFonts w:ascii="微软雅黑" w:hAnsi="微软雅黑" w:hint="default"/>
      </w:rPr>
    </w:lvl>
  </w:abstractNum>
  <w:abstractNum w:abstractNumId="3"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35F49A8"/>
    <w:multiLevelType w:val="multilevel"/>
    <w:tmpl w:val="235F49A8"/>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微软雅黑" w:hAnsi="微软雅黑" w:hint="default"/>
      </w:rPr>
    </w:lvl>
    <w:lvl w:ilvl="2">
      <w:start w:val="1"/>
      <w:numFmt w:val="bullet"/>
      <w:lvlText w:val=""/>
      <w:lvlJc w:val="left"/>
      <w:pPr>
        <w:tabs>
          <w:tab w:val="left" w:pos="1260"/>
        </w:tabs>
        <w:ind w:left="2100" w:hanging="420"/>
      </w:pPr>
      <w:rPr>
        <w:rFonts w:ascii="微软雅黑" w:hAnsi="微软雅黑" w:hint="default"/>
      </w:rPr>
    </w:lvl>
    <w:lvl w:ilvl="3">
      <w:start w:val="1"/>
      <w:numFmt w:val="bullet"/>
      <w:lvlText w:val=""/>
      <w:lvlJc w:val="left"/>
      <w:pPr>
        <w:tabs>
          <w:tab w:val="left" w:pos="1680"/>
        </w:tabs>
        <w:ind w:left="2520" w:hanging="420"/>
      </w:pPr>
      <w:rPr>
        <w:rFonts w:ascii="微软雅黑" w:hAnsi="微软雅黑" w:hint="default"/>
      </w:rPr>
    </w:lvl>
    <w:lvl w:ilvl="4">
      <w:start w:val="1"/>
      <w:numFmt w:val="bullet"/>
      <w:lvlText w:val=""/>
      <w:lvlJc w:val="left"/>
      <w:pPr>
        <w:tabs>
          <w:tab w:val="left" w:pos="2100"/>
        </w:tabs>
        <w:ind w:left="2940" w:hanging="420"/>
      </w:pPr>
      <w:rPr>
        <w:rFonts w:ascii="微软雅黑" w:hAnsi="微软雅黑" w:hint="default"/>
      </w:rPr>
    </w:lvl>
    <w:lvl w:ilvl="5">
      <w:start w:val="1"/>
      <w:numFmt w:val="bullet"/>
      <w:lvlText w:val=""/>
      <w:lvlJc w:val="left"/>
      <w:pPr>
        <w:tabs>
          <w:tab w:val="left" w:pos="2520"/>
        </w:tabs>
        <w:ind w:left="3360" w:hanging="420"/>
      </w:pPr>
      <w:rPr>
        <w:rFonts w:ascii="微软雅黑" w:hAnsi="微软雅黑" w:hint="default"/>
      </w:rPr>
    </w:lvl>
    <w:lvl w:ilvl="6">
      <w:start w:val="1"/>
      <w:numFmt w:val="bullet"/>
      <w:lvlText w:val=""/>
      <w:lvlJc w:val="left"/>
      <w:pPr>
        <w:tabs>
          <w:tab w:val="left" w:pos="2940"/>
        </w:tabs>
        <w:ind w:left="3780" w:hanging="420"/>
      </w:pPr>
      <w:rPr>
        <w:rFonts w:ascii="微软雅黑" w:hAnsi="微软雅黑" w:hint="default"/>
      </w:rPr>
    </w:lvl>
    <w:lvl w:ilvl="7">
      <w:start w:val="1"/>
      <w:numFmt w:val="bullet"/>
      <w:lvlText w:val=""/>
      <w:lvlJc w:val="left"/>
      <w:pPr>
        <w:tabs>
          <w:tab w:val="left" w:pos="3360"/>
        </w:tabs>
        <w:ind w:left="4200" w:hanging="420"/>
      </w:pPr>
      <w:rPr>
        <w:rFonts w:ascii="微软雅黑" w:hAnsi="微软雅黑" w:hint="default"/>
      </w:rPr>
    </w:lvl>
    <w:lvl w:ilvl="8">
      <w:start w:val="1"/>
      <w:numFmt w:val="bullet"/>
      <w:lvlText w:val=""/>
      <w:lvlJc w:val="left"/>
      <w:pPr>
        <w:tabs>
          <w:tab w:val="left" w:pos="3780"/>
        </w:tabs>
        <w:ind w:left="4620" w:hanging="420"/>
      </w:pPr>
      <w:rPr>
        <w:rFonts w:ascii="微软雅黑" w:hAnsi="微软雅黑" w:hint="default"/>
      </w:rPr>
    </w:lvl>
  </w:abstractNum>
  <w:abstractNum w:abstractNumId="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4871F85"/>
    <w:multiLevelType w:val="singleLevel"/>
    <w:tmpl w:val="54871F85"/>
    <w:lvl w:ilvl="0">
      <w:start w:val="1"/>
      <w:numFmt w:val="bullet"/>
      <w:lvlText w:val=""/>
      <w:lvlJc w:val="left"/>
      <w:pPr>
        <w:ind w:left="420" w:hanging="420"/>
      </w:pPr>
      <w:rPr>
        <w:rFonts w:ascii="Wingdings" w:hAnsi="Wingdings" w:hint="default"/>
      </w:rPr>
    </w:lvl>
  </w:abstractNum>
  <w:abstractNum w:abstractNumId="9" w15:restartNumberingAfterBreak="0">
    <w:nsid w:val="67D5B402"/>
    <w:multiLevelType w:val="singleLevel"/>
    <w:tmpl w:val="67D5B402"/>
    <w:lvl w:ilvl="0">
      <w:start w:val="1"/>
      <w:numFmt w:val="bullet"/>
      <w:lvlText w:val=""/>
      <w:lvlJc w:val="left"/>
      <w:pPr>
        <w:tabs>
          <w:tab w:val="left" w:pos="420"/>
        </w:tabs>
        <w:ind w:left="84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529C5F1"/>
    <w:multiLevelType w:val="multilevel"/>
    <w:tmpl w:val="7529C5F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微软雅黑" w:hAnsi="微软雅黑" w:hint="default"/>
      </w:rPr>
    </w:lvl>
    <w:lvl w:ilvl="2">
      <w:start w:val="1"/>
      <w:numFmt w:val="bullet"/>
      <w:lvlText w:val=""/>
      <w:lvlJc w:val="left"/>
      <w:pPr>
        <w:tabs>
          <w:tab w:val="left" w:pos="1260"/>
        </w:tabs>
        <w:ind w:left="2520" w:hanging="420"/>
      </w:pPr>
      <w:rPr>
        <w:rFonts w:ascii="微软雅黑" w:hAnsi="微软雅黑" w:hint="default"/>
      </w:rPr>
    </w:lvl>
    <w:lvl w:ilvl="3">
      <w:start w:val="1"/>
      <w:numFmt w:val="bullet"/>
      <w:lvlText w:val=""/>
      <w:lvlJc w:val="left"/>
      <w:pPr>
        <w:tabs>
          <w:tab w:val="left" w:pos="1680"/>
        </w:tabs>
        <w:ind w:left="2940" w:hanging="420"/>
      </w:pPr>
      <w:rPr>
        <w:rFonts w:ascii="微软雅黑" w:hAnsi="微软雅黑" w:hint="default"/>
      </w:rPr>
    </w:lvl>
    <w:lvl w:ilvl="4">
      <w:start w:val="1"/>
      <w:numFmt w:val="bullet"/>
      <w:lvlText w:val=""/>
      <w:lvlJc w:val="left"/>
      <w:pPr>
        <w:tabs>
          <w:tab w:val="left" w:pos="2100"/>
        </w:tabs>
        <w:ind w:left="3360" w:hanging="420"/>
      </w:pPr>
      <w:rPr>
        <w:rFonts w:ascii="微软雅黑" w:hAnsi="微软雅黑" w:hint="default"/>
      </w:rPr>
    </w:lvl>
    <w:lvl w:ilvl="5">
      <w:start w:val="1"/>
      <w:numFmt w:val="bullet"/>
      <w:lvlText w:val=""/>
      <w:lvlJc w:val="left"/>
      <w:pPr>
        <w:tabs>
          <w:tab w:val="left" w:pos="2520"/>
        </w:tabs>
        <w:ind w:left="3780" w:hanging="420"/>
      </w:pPr>
      <w:rPr>
        <w:rFonts w:ascii="微软雅黑" w:hAnsi="微软雅黑" w:hint="default"/>
      </w:rPr>
    </w:lvl>
    <w:lvl w:ilvl="6">
      <w:start w:val="1"/>
      <w:numFmt w:val="bullet"/>
      <w:lvlText w:val=""/>
      <w:lvlJc w:val="left"/>
      <w:pPr>
        <w:tabs>
          <w:tab w:val="left" w:pos="2940"/>
        </w:tabs>
        <w:ind w:left="4200" w:hanging="420"/>
      </w:pPr>
      <w:rPr>
        <w:rFonts w:ascii="微软雅黑" w:hAnsi="微软雅黑" w:hint="default"/>
      </w:rPr>
    </w:lvl>
    <w:lvl w:ilvl="7">
      <w:start w:val="1"/>
      <w:numFmt w:val="bullet"/>
      <w:lvlText w:val=""/>
      <w:lvlJc w:val="left"/>
      <w:pPr>
        <w:tabs>
          <w:tab w:val="left" w:pos="3360"/>
        </w:tabs>
        <w:ind w:left="4620" w:hanging="420"/>
      </w:pPr>
      <w:rPr>
        <w:rFonts w:ascii="微软雅黑" w:hAnsi="微软雅黑" w:hint="default"/>
      </w:rPr>
    </w:lvl>
    <w:lvl w:ilvl="8">
      <w:start w:val="1"/>
      <w:numFmt w:val="bullet"/>
      <w:lvlText w:val=""/>
      <w:lvlJc w:val="left"/>
      <w:pPr>
        <w:tabs>
          <w:tab w:val="left" w:pos="3780"/>
        </w:tabs>
        <w:ind w:left="5040" w:hanging="420"/>
      </w:pPr>
      <w:rPr>
        <w:rFonts w:ascii="微软雅黑" w:hAnsi="微软雅黑" w:hint="default"/>
      </w:rPr>
    </w:lvl>
  </w:abstractNum>
  <w:num w:numId="1">
    <w:abstractNumId w:val="3"/>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11"/>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4EE5"/>
    <w:rsid w:val="00176371"/>
    <w:rsid w:val="00176496"/>
    <w:rsid w:val="001767AB"/>
    <w:rsid w:val="00176CE4"/>
    <w:rsid w:val="00177052"/>
    <w:rsid w:val="0018253F"/>
    <w:rsid w:val="00183086"/>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2D2"/>
    <w:rsid w:val="00205322"/>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34DC"/>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0E46"/>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06556"/>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5130"/>
    <w:rsid w:val="006D51BF"/>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660D"/>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595"/>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1B4D"/>
    <w:rsid w:val="00933578"/>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0E9D"/>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1380"/>
    <w:rsid w:val="00CC47FF"/>
    <w:rsid w:val="00CC4B2C"/>
    <w:rsid w:val="00CC7D91"/>
    <w:rsid w:val="00CD08DD"/>
    <w:rsid w:val="00CD1A96"/>
    <w:rsid w:val="00CD2824"/>
    <w:rsid w:val="00CD2BB2"/>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0DEA"/>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40EA"/>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BC240B"/>
    <w:rsid w:val="04BE3BD3"/>
    <w:rsid w:val="04E57349"/>
    <w:rsid w:val="05A51DB9"/>
    <w:rsid w:val="060B7677"/>
    <w:rsid w:val="061A5313"/>
    <w:rsid w:val="061A69EE"/>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4216B7"/>
    <w:rsid w:val="094F3B76"/>
    <w:rsid w:val="09B01B12"/>
    <w:rsid w:val="09C00431"/>
    <w:rsid w:val="09C02BBF"/>
    <w:rsid w:val="09D62DC2"/>
    <w:rsid w:val="09DD5F7E"/>
    <w:rsid w:val="0AA76BBF"/>
    <w:rsid w:val="0ABA3196"/>
    <w:rsid w:val="0ABD67A5"/>
    <w:rsid w:val="0AC74C67"/>
    <w:rsid w:val="0AEC4C33"/>
    <w:rsid w:val="0AF81F7D"/>
    <w:rsid w:val="0AF9651E"/>
    <w:rsid w:val="0B035D76"/>
    <w:rsid w:val="0B0D72DF"/>
    <w:rsid w:val="0B532916"/>
    <w:rsid w:val="0BA71F9F"/>
    <w:rsid w:val="0BC24B89"/>
    <w:rsid w:val="0BF608EB"/>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D34FC9"/>
    <w:rsid w:val="124203BC"/>
    <w:rsid w:val="12456039"/>
    <w:rsid w:val="12606FE4"/>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8127246"/>
    <w:rsid w:val="18376C5B"/>
    <w:rsid w:val="183C749A"/>
    <w:rsid w:val="18527289"/>
    <w:rsid w:val="185E77BE"/>
    <w:rsid w:val="187472F0"/>
    <w:rsid w:val="18A81BCE"/>
    <w:rsid w:val="18BB49A9"/>
    <w:rsid w:val="18BD7907"/>
    <w:rsid w:val="19181D00"/>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D0B0A16"/>
    <w:rsid w:val="1D3212A4"/>
    <w:rsid w:val="1D4B08BC"/>
    <w:rsid w:val="1D650CC3"/>
    <w:rsid w:val="1DF36F10"/>
    <w:rsid w:val="1E1A3914"/>
    <w:rsid w:val="1E5B735D"/>
    <w:rsid w:val="1EBE11B1"/>
    <w:rsid w:val="1EC63D7C"/>
    <w:rsid w:val="1EE13120"/>
    <w:rsid w:val="1EEC1248"/>
    <w:rsid w:val="1EF24A99"/>
    <w:rsid w:val="1F145E2D"/>
    <w:rsid w:val="1F4D61EB"/>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9A1EB1"/>
    <w:rsid w:val="24E07E36"/>
    <w:rsid w:val="25027CEC"/>
    <w:rsid w:val="251A47DB"/>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B91633"/>
    <w:rsid w:val="27BE4B44"/>
    <w:rsid w:val="27D0173F"/>
    <w:rsid w:val="27DD18F1"/>
    <w:rsid w:val="28163B2C"/>
    <w:rsid w:val="281B2B80"/>
    <w:rsid w:val="28227A69"/>
    <w:rsid w:val="28DC66D6"/>
    <w:rsid w:val="28E6016C"/>
    <w:rsid w:val="28E61363"/>
    <w:rsid w:val="28F81A01"/>
    <w:rsid w:val="293C4340"/>
    <w:rsid w:val="29630D60"/>
    <w:rsid w:val="299261A8"/>
    <w:rsid w:val="29976826"/>
    <w:rsid w:val="2A447D96"/>
    <w:rsid w:val="2AA22547"/>
    <w:rsid w:val="2AA27CAB"/>
    <w:rsid w:val="2B0651FF"/>
    <w:rsid w:val="2B8E3855"/>
    <w:rsid w:val="2B942C10"/>
    <w:rsid w:val="2BBE7D2C"/>
    <w:rsid w:val="2BD41345"/>
    <w:rsid w:val="2BEE5854"/>
    <w:rsid w:val="2C897AD5"/>
    <w:rsid w:val="2CBD4227"/>
    <w:rsid w:val="2D1F1FF1"/>
    <w:rsid w:val="2D266524"/>
    <w:rsid w:val="2D2C75CF"/>
    <w:rsid w:val="2D4C2D0F"/>
    <w:rsid w:val="2D8C25BE"/>
    <w:rsid w:val="2DD90901"/>
    <w:rsid w:val="2E3F6FF1"/>
    <w:rsid w:val="2E4E27CA"/>
    <w:rsid w:val="2E5D0DE4"/>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90B94"/>
    <w:rsid w:val="3D7A7192"/>
    <w:rsid w:val="3DB138D5"/>
    <w:rsid w:val="3DB40E70"/>
    <w:rsid w:val="3E2E0A25"/>
    <w:rsid w:val="3E3B24BF"/>
    <w:rsid w:val="3E64265A"/>
    <w:rsid w:val="3E6C3FAF"/>
    <w:rsid w:val="3E8E0FDF"/>
    <w:rsid w:val="3E93172F"/>
    <w:rsid w:val="3EA51E2C"/>
    <w:rsid w:val="3EAC040D"/>
    <w:rsid w:val="3EF34B07"/>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A9444F"/>
    <w:rsid w:val="49EE28F9"/>
    <w:rsid w:val="4A1242B7"/>
    <w:rsid w:val="4A20103D"/>
    <w:rsid w:val="4A2631E4"/>
    <w:rsid w:val="4A9061CF"/>
    <w:rsid w:val="4A955F53"/>
    <w:rsid w:val="4B024453"/>
    <w:rsid w:val="4B144D40"/>
    <w:rsid w:val="4B230331"/>
    <w:rsid w:val="4B4107D0"/>
    <w:rsid w:val="4B805A5F"/>
    <w:rsid w:val="4B88470B"/>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E1472EE"/>
    <w:rsid w:val="4E33012A"/>
    <w:rsid w:val="4E552608"/>
    <w:rsid w:val="4E68191A"/>
    <w:rsid w:val="4E6B1DD7"/>
    <w:rsid w:val="4E857630"/>
    <w:rsid w:val="4E8F1021"/>
    <w:rsid w:val="4E960D48"/>
    <w:rsid w:val="4EE00DC9"/>
    <w:rsid w:val="4EE707FB"/>
    <w:rsid w:val="4F002168"/>
    <w:rsid w:val="4F3E18B2"/>
    <w:rsid w:val="4FB17A29"/>
    <w:rsid w:val="503150E3"/>
    <w:rsid w:val="50836079"/>
    <w:rsid w:val="509171DA"/>
    <w:rsid w:val="50CB4649"/>
    <w:rsid w:val="51057F79"/>
    <w:rsid w:val="51475CC0"/>
    <w:rsid w:val="514D59E0"/>
    <w:rsid w:val="51694330"/>
    <w:rsid w:val="51895191"/>
    <w:rsid w:val="51AF698E"/>
    <w:rsid w:val="51C06621"/>
    <w:rsid w:val="51C23BAD"/>
    <w:rsid w:val="51DD319C"/>
    <w:rsid w:val="520F6D93"/>
    <w:rsid w:val="52252EBD"/>
    <w:rsid w:val="529B6F98"/>
    <w:rsid w:val="52A66C49"/>
    <w:rsid w:val="52B63145"/>
    <w:rsid w:val="52BB1F28"/>
    <w:rsid w:val="52E71FB4"/>
    <w:rsid w:val="53AE5964"/>
    <w:rsid w:val="53B54782"/>
    <w:rsid w:val="54494545"/>
    <w:rsid w:val="547B4879"/>
    <w:rsid w:val="54AA0A30"/>
    <w:rsid w:val="54B00903"/>
    <w:rsid w:val="54CB7EA9"/>
    <w:rsid w:val="54DE303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577C3"/>
    <w:rsid w:val="5C657B8F"/>
    <w:rsid w:val="5C8C55D5"/>
    <w:rsid w:val="5C9536D3"/>
    <w:rsid w:val="5CBF18BC"/>
    <w:rsid w:val="5CD46209"/>
    <w:rsid w:val="5CEA0ADF"/>
    <w:rsid w:val="5CF07939"/>
    <w:rsid w:val="5D1F0F34"/>
    <w:rsid w:val="5D2802F3"/>
    <w:rsid w:val="5D80343C"/>
    <w:rsid w:val="5D850726"/>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3D7B82"/>
    <w:rsid w:val="64806028"/>
    <w:rsid w:val="64CF2277"/>
    <w:rsid w:val="64F73439"/>
    <w:rsid w:val="650802E3"/>
    <w:rsid w:val="6530763D"/>
    <w:rsid w:val="6531024B"/>
    <w:rsid w:val="65506B03"/>
    <w:rsid w:val="6574639E"/>
    <w:rsid w:val="657E3736"/>
    <w:rsid w:val="66083494"/>
    <w:rsid w:val="66257BD6"/>
    <w:rsid w:val="667C7C00"/>
    <w:rsid w:val="668E1C3C"/>
    <w:rsid w:val="66E84324"/>
    <w:rsid w:val="66F44120"/>
    <w:rsid w:val="67321F44"/>
    <w:rsid w:val="67390939"/>
    <w:rsid w:val="676C2CBF"/>
    <w:rsid w:val="67C046AA"/>
    <w:rsid w:val="68791231"/>
    <w:rsid w:val="68812F96"/>
    <w:rsid w:val="688A1D55"/>
    <w:rsid w:val="68BF756D"/>
    <w:rsid w:val="68CE27BB"/>
    <w:rsid w:val="68E56882"/>
    <w:rsid w:val="68F84167"/>
    <w:rsid w:val="691F09A3"/>
    <w:rsid w:val="694A2AD0"/>
    <w:rsid w:val="69500604"/>
    <w:rsid w:val="696D08E0"/>
    <w:rsid w:val="69C15A14"/>
    <w:rsid w:val="69CC2B0F"/>
    <w:rsid w:val="69D82D07"/>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170A1"/>
    <w:rsid w:val="6D125C14"/>
    <w:rsid w:val="6D15265D"/>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83108A"/>
    <w:rsid w:val="7BAE5A06"/>
    <w:rsid w:val="7BDF1C40"/>
    <w:rsid w:val="7BFE2799"/>
    <w:rsid w:val="7CAB63B7"/>
    <w:rsid w:val="7CB818B8"/>
    <w:rsid w:val="7CD50713"/>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101ED9-88E7-4C49-BCDE-C54AE9C5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283CC1-F447-4D73-BCC9-DAED75F63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1042</Words>
  <Characters>5942</Characters>
  <Application>Microsoft Office Word</Application>
  <DocSecurity>0</DocSecurity>
  <Lines>49</Lines>
  <Paragraphs>13</Paragraphs>
  <ScaleCrop>false</ScaleCrop>
  <Company/>
  <LinksUpToDate>false</LinksUpToDate>
  <CharactersWithSpaces>6971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88</cp:revision>
  <dcterms:created xsi:type="dcterms:W3CDTF">2021-08-05T12:19:00Z</dcterms:created>
  <dcterms:modified xsi:type="dcterms:W3CDTF">2022-02-14T12:45:00Z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